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E5" w:rsidRPr="00A85A87" w:rsidRDefault="000B4BE5" w:rsidP="00347526">
      <w:pPr>
        <w:spacing w:after="0" w:line="240" w:lineRule="auto"/>
        <w:jc w:val="center"/>
        <w:rPr>
          <w:b/>
          <w:caps/>
          <w:color w:val="0000FF"/>
          <w:sz w:val="24"/>
          <w:szCs w:val="24"/>
        </w:rPr>
      </w:pPr>
      <w:r>
        <w:rPr>
          <w:b/>
          <w:caps/>
          <w:color w:val="0000FF"/>
          <w:sz w:val="24"/>
          <w:szCs w:val="24"/>
        </w:rPr>
        <w:t>požadavky fors – Českého fóra pro rozvojovou spolupráci pro druhé setkání gpedc v nairobi (listopad - prosinec 2016)</w:t>
      </w:r>
    </w:p>
    <w:p w:rsidR="000B4BE5" w:rsidRPr="00F80009" w:rsidRDefault="000B4BE5" w:rsidP="00F80009">
      <w:pPr>
        <w:widowControl w:val="0"/>
        <w:spacing w:before="180" w:after="0" w:line="240" w:lineRule="auto"/>
        <w:jc w:val="both"/>
        <w:rPr>
          <w:bCs/>
        </w:rPr>
      </w:pPr>
      <w:r w:rsidRPr="00F80009">
        <w:rPr>
          <w:bCs/>
        </w:rPr>
        <w:t>Hlavní požadavky pro druhé setkání na vysoké úrovni Globálního partnerství pro efektivní rozvojovou spolupráci</w:t>
      </w:r>
      <w:r>
        <w:rPr>
          <w:bCs/>
        </w:rPr>
        <w:t xml:space="preserve"> (GPEDC)</w:t>
      </w:r>
      <w:r w:rsidRPr="00F80009">
        <w:rPr>
          <w:bCs/>
        </w:rPr>
        <w:t xml:space="preserve"> v Nairobi se týkají principů </w:t>
      </w:r>
      <w:r>
        <w:rPr>
          <w:bCs/>
        </w:rPr>
        <w:t>rozvojové efektivnosti</w:t>
      </w:r>
      <w:r w:rsidRPr="00F80009">
        <w:rPr>
          <w:bCs/>
        </w:rPr>
        <w:t xml:space="preserve">, odsouhlasených v Busanu v roce 2011 a potvrzených v Mexiku v roce 2014. </w:t>
      </w:r>
      <w:r>
        <w:rPr>
          <w:bCs/>
        </w:rPr>
        <w:t xml:space="preserve">Národní platforma </w:t>
      </w:r>
      <w:r w:rsidRPr="00F80009">
        <w:rPr>
          <w:bCs/>
        </w:rPr>
        <w:t>FoRS podporuje stanovisko</w:t>
      </w:r>
      <w:r>
        <w:rPr>
          <w:bCs/>
        </w:rPr>
        <w:t xml:space="preserve"> evropské konfederace</w:t>
      </w:r>
      <w:r w:rsidRPr="00F80009">
        <w:rPr>
          <w:bCs/>
        </w:rPr>
        <w:t xml:space="preserve"> CONCORD zaměřené na plnění závazků z Busanu, s</w:t>
      </w:r>
      <w:r>
        <w:rPr>
          <w:bCs/>
        </w:rPr>
        <w:t>e speciálním</w:t>
      </w:r>
      <w:r w:rsidRPr="00F80009">
        <w:rPr>
          <w:bCs/>
        </w:rPr>
        <w:t xml:space="preserve"> důrazem na:</w:t>
      </w:r>
    </w:p>
    <w:p w:rsidR="000B4BE5" w:rsidRPr="00F80009" w:rsidRDefault="000B4BE5" w:rsidP="006062A1">
      <w:pPr>
        <w:widowControl w:val="0"/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568" w:hanging="284"/>
        <w:jc w:val="both"/>
        <w:rPr>
          <w:bCs/>
        </w:rPr>
      </w:pPr>
      <w:r w:rsidRPr="00F80009">
        <w:rPr>
          <w:b/>
          <w:bCs/>
        </w:rPr>
        <w:t>Demokratické vlastnictví</w:t>
      </w:r>
      <w:r w:rsidRPr="00F80009">
        <w:rPr>
          <w:bCs/>
        </w:rPr>
        <w:t xml:space="preserve"> rozvojových intervencí </w:t>
      </w:r>
      <w:r w:rsidRPr="00874771">
        <w:rPr>
          <w:b/>
          <w:bCs/>
        </w:rPr>
        <w:t>a inklusivní účast na</w:t>
      </w:r>
      <w:r w:rsidRPr="00E058CF">
        <w:rPr>
          <w:b/>
          <w:bCs/>
        </w:rPr>
        <w:t> </w:t>
      </w:r>
      <w:r w:rsidRPr="00874771">
        <w:rPr>
          <w:b/>
          <w:bCs/>
        </w:rPr>
        <w:t>rozhodování</w:t>
      </w:r>
      <w:r w:rsidRPr="00F80009">
        <w:rPr>
          <w:bCs/>
        </w:rPr>
        <w:t>:</w:t>
      </w:r>
    </w:p>
    <w:p w:rsidR="000B4BE5" w:rsidRDefault="000B4BE5" w:rsidP="00F80009">
      <w:pPr>
        <w:widowControl w:val="0"/>
        <w:numPr>
          <w:ilvl w:val="1"/>
          <w:numId w:val="4"/>
        </w:numPr>
        <w:tabs>
          <w:tab w:val="clear" w:pos="1440"/>
        </w:tabs>
        <w:spacing w:before="40" w:after="0" w:line="240" w:lineRule="auto"/>
        <w:ind w:left="851" w:hanging="284"/>
        <w:jc w:val="both"/>
        <w:rPr>
          <w:bCs/>
        </w:rPr>
      </w:pPr>
      <w:r>
        <w:rPr>
          <w:bCs/>
        </w:rPr>
        <w:tab/>
      </w:r>
      <w:r w:rsidRPr="00F80009">
        <w:rPr>
          <w:bCs/>
        </w:rPr>
        <w:t xml:space="preserve">V této oblasti může ČR prezentovat dobrou praxi mj. díky </w:t>
      </w:r>
      <w:r>
        <w:rPr>
          <w:bCs/>
        </w:rPr>
        <w:t xml:space="preserve">mezisektorovým </w:t>
      </w:r>
      <w:r w:rsidRPr="00F80009">
        <w:rPr>
          <w:bCs/>
        </w:rPr>
        <w:t xml:space="preserve">konzultacím strategických dokumentů </w:t>
      </w:r>
      <w:r>
        <w:rPr>
          <w:bCs/>
        </w:rPr>
        <w:t xml:space="preserve">v Radě pro zahraniční rozvojovou spolupráci a v </w:t>
      </w:r>
      <w:r w:rsidRPr="00F80009">
        <w:rPr>
          <w:bCs/>
        </w:rPr>
        <w:t xml:space="preserve">Radě vlády pro udržitelný rozvoj a </w:t>
      </w:r>
      <w:r>
        <w:rPr>
          <w:bCs/>
        </w:rPr>
        <w:t>v jejich</w:t>
      </w:r>
      <w:r w:rsidRPr="00F80009">
        <w:rPr>
          <w:bCs/>
        </w:rPr>
        <w:t xml:space="preserve"> pracovních skupin</w:t>
      </w:r>
      <w:r>
        <w:rPr>
          <w:bCs/>
        </w:rPr>
        <w:t xml:space="preserve">ách. Konkrétním příkladem </w:t>
      </w:r>
      <w:r w:rsidRPr="00F80009">
        <w:rPr>
          <w:bCs/>
        </w:rPr>
        <w:t>konsensuální</w:t>
      </w:r>
      <w:r>
        <w:rPr>
          <w:bCs/>
        </w:rPr>
        <w:t>ho výstupu je např.</w:t>
      </w:r>
      <w:r w:rsidRPr="00F80009">
        <w:rPr>
          <w:bCs/>
        </w:rPr>
        <w:t xml:space="preserve"> Rámcová pozice ČR k cílům udržitelného rozvoje.</w:t>
      </w:r>
    </w:p>
    <w:p w:rsidR="000B4BE5" w:rsidRPr="00F80009" w:rsidRDefault="000B4BE5" w:rsidP="006062A1">
      <w:pPr>
        <w:widowControl w:val="0"/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568" w:hanging="284"/>
        <w:jc w:val="both"/>
        <w:rPr>
          <w:bCs/>
        </w:rPr>
      </w:pPr>
      <w:r w:rsidRPr="00F80009">
        <w:rPr>
          <w:b/>
          <w:bCs/>
        </w:rPr>
        <w:t>Podpora partnerství a sdílené odpovědnosti za rozvojové výsledky</w:t>
      </w:r>
      <w:r w:rsidRPr="00F80009">
        <w:rPr>
          <w:bCs/>
        </w:rPr>
        <w:t>, včetně podpory pro uplatňování Istanbulských principů rozvojové efektivnosti organizací občanské společnosti (</w:t>
      </w:r>
      <w:r>
        <w:rPr>
          <w:bCs/>
        </w:rPr>
        <w:t>CSO – Civil Society Organizations</w:t>
      </w:r>
      <w:r w:rsidRPr="00F80009">
        <w:rPr>
          <w:bCs/>
        </w:rPr>
        <w:t>) a dalších dobrovolných mechanismů:</w:t>
      </w:r>
    </w:p>
    <w:p w:rsidR="000B4BE5" w:rsidRPr="00F80009" w:rsidRDefault="000B4BE5" w:rsidP="00F80009">
      <w:pPr>
        <w:widowControl w:val="0"/>
        <w:numPr>
          <w:ilvl w:val="1"/>
          <w:numId w:val="4"/>
        </w:numPr>
        <w:tabs>
          <w:tab w:val="clear" w:pos="1440"/>
        </w:tabs>
        <w:spacing w:before="40" w:after="0" w:line="240" w:lineRule="auto"/>
        <w:ind w:left="851" w:hanging="284"/>
        <w:jc w:val="both"/>
        <w:rPr>
          <w:bCs/>
        </w:rPr>
      </w:pPr>
      <w:r>
        <w:rPr>
          <w:bCs/>
        </w:rPr>
        <w:tab/>
      </w:r>
      <w:r w:rsidRPr="00F80009">
        <w:rPr>
          <w:bCs/>
        </w:rPr>
        <w:t>V této oblasti existují nedostatky na implementační úrovni – mimo jiné problémy indikované evaluacemi s formulací veřejných zakázek</w:t>
      </w:r>
      <w:r>
        <w:rPr>
          <w:bCs/>
        </w:rPr>
        <w:t>,</w:t>
      </w:r>
      <w:r w:rsidRPr="00F80009">
        <w:rPr>
          <w:bCs/>
        </w:rPr>
        <w:t xml:space="preserve"> a</w:t>
      </w:r>
      <w:r>
        <w:rPr>
          <w:bCs/>
        </w:rPr>
        <w:t xml:space="preserve"> tedy se sdílenou odpovědností České rozvojové agentury </w:t>
      </w:r>
      <w:r w:rsidRPr="00F80009">
        <w:rPr>
          <w:bCs/>
        </w:rPr>
        <w:t>a realizátorů za úspěchy projektů (</w:t>
      </w:r>
      <w:r>
        <w:rPr>
          <w:bCs/>
        </w:rPr>
        <w:t xml:space="preserve">FoRS se </w:t>
      </w:r>
      <w:r w:rsidRPr="00F80009">
        <w:rPr>
          <w:bCs/>
        </w:rPr>
        <w:t>proto</w:t>
      </w:r>
      <w:r>
        <w:rPr>
          <w:bCs/>
        </w:rPr>
        <w:t xml:space="preserve"> mj. </w:t>
      </w:r>
      <w:r w:rsidRPr="00F80009">
        <w:rPr>
          <w:bCs/>
        </w:rPr>
        <w:t xml:space="preserve">snaží nalézt mechanismus, který by umožnil zapojení realizátorů již do přípravy projektů – tedy možnost spolufinancování nad rámec </w:t>
      </w:r>
      <w:r w:rsidRPr="00347526">
        <w:rPr>
          <w:bCs/>
        </w:rPr>
        <w:t>de minimis</w:t>
      </w:r>
      <w:r w:rsidRPr="00F80009">
        <w:rPr>
          <w:bCs/>
        </w:rPr>
        <w:t>)</w:t>
      </w:r>
      <w:r>
        <w:rPr>
          <w:bCs/>
        </w:rPr>
        <w:t>.</w:t>
      </w:r>
      <w:r w:rsidRPr="00F80009">
        <w:rPr>
          <w:bCs/>
        </w:rPr>
        <w:t xml:space="preserve"> </w:t>
      </w:r>
      <w:r>
        <w:rPr>
          <w:bCs/>
        </w:rPr>
        <w:t>S</w:t>
      </w:r>
      <w:r w:rsidRPr="00F80009">
        <w:rPr>
          <w:bCs/>
        </w:rPr>
        <w:t>oučasně by</w:t>
      </w:r>
      <w:r>
        <w:rPr>
          <w:bCs/>
        </w:rPr>
        <w:t xml:space="preserve"> FoRS </w:t>
      </w:r>
      <w:r w:rsidRPr="00F80009">
        <w:rPr>
          <w:bCs/>
        </w:rPr>
        <w:t xml:space="preserve">uvítal také „Etický kodex“ a větší odpovědnost firem zapojených do </w:t>
      </w:r>
      <w:r>
        <w:rPr>
          <w:bCs/>
        </w:rPr>
        <w:t>rozvojové spolupráce.</w:t>
      </w:r>
      <w:r w:rsidRPr="00F80009">
        <w:rPr>
          <w:bCs/>
        </w:rPr>
        <w:t xml:space="preserve"> </w:t>
      </w:r>
      <w:r>
        <w:rPr>
          <w:bCs/>
        </w:rPr>
        <w:t>U</w:t>
      </w:r>
      <w:r w:rsidRPr="00F80009">
        <w:rPr>
          <w:bCs/>
        </w:rPr>
        <w:t xml:space="preserve"> dotací je problémem </w:t>
      </w:r>
      <w:r>
        <w:rPr>
          <w:bCs/>
        </w:rPr>
        <w:t>omezené</w:t>
      </w:r>
      <w:r w:rsidRPr="00F80009">
        <w:rPr>
          <w:bCs/>
        </w:rPr>
        <w:t xml:space="preserve"> „právo iniciativy“ </w:t>
      </w:r>
      <w:r>
        <w:rPr>
          <w:bCs/>
        </w:rPr>
        <w:t>–</w:t>
      </w:r>
      <w:r w:rsidRPr="00F80009">
        <w:rPr>
          <w:bCs/>
        </w:rPr>
        <w:t xml:space="preserve"> stávajícím</w:t>
      </w:r>
      <w:r>
        <w:rPr>
          <w:bCs/>
        </w:rPr>
        <w:t xml:space="preserve"> </w:t>
      </w:r>
      <w:r w:rsidRPr="00F80009">
        <w:rPr>
          <w:bCs/>
        </w:rPr>
        <w:t>dotačním programům chybí větší podpora neformálního a odborného rozvojového vzdělávání a větší podpora pro zapojení v mezinárodních strukturách, případně možnost realizovat kvalitní projekty nad rámec vládních priorit a projekty mezisektorové (propojení sektorů je nezbytné pro zajištění cílů udržitelného rozvoje a dlouhodobých dopadů);</w:t>
      </w:r>
    </w:p>
    <w:p w:rsidR="000B4BE5" w:rsidRPr="00F80009" w:rsidRDefault="000B4BE5" w:rsidP="00F80009">
      <w:pPr>
        <w:widowControl w:val="0"/>
        <w:numPr>
          <w:ilvl w:val="1"/>
          <w:numId w:val="4"/>
        </w:numPr>
        <w:tabs>
          <w:tab w:val="clear" w:pos="1440"/>
        </w:tabs>
        <w:spacing w:before="40" w:after="0" w:line="240" w:lineRule="auto"/>
        <w:ind w:left="851" w:hanging="284"/>
        <w:jc w:val="both"/>
        <w:rPr>
          <w:bCs/>
        </w:rPr>
      </w:pPr>
      <w:r>
        <w:rPr>
          <w:bCs/>
        </w:rPr>
        <w:tab/>
      </w:r>
      <w:r w:rsidRPr="00F80009">
        <w:rPr>
          <w:bCs/>
        </w:rPr>
        <w:t>Pozitivem je systém evaluací</w:t>
      </w:r>
      <w:r>
        <w:rPr>
          <w:bCs/>
        </w:rPr>
        <w:t>,</w:t>
      </w:r>
      <w:r w:rsidRPr="00F80009">
        <w:rPr>
          <w:bCs/>
        </w:rPr>
        <w:t xml:space="preserve"> Kodex efektivnosti FoRS, jehož </w:t>
      </w:r>
      <w:r>
        <w:rPr>
          <w:bCs/>
        </w:rPr>
        <w:t>metodiku</w:t>
      </w:r>
      <w:r w:rsidRPr="00F80009">
        <w:rPr>
          <w:bCs/>
        </w:rPr>
        <w:t xml:space="preserve"> převza</w:t>
      </w:r>
      <w:r>
        <w:rPr>
          <w:bCs/>
        </w:rPr>
        <w:t>la</w:t>
      </w:r>
      <w:r w:rsidRPr="00F80009">
        <w:rPr>
          <w:bCs/>
        </w:rPr>
        <w:t xml:space="preserve"> globální platform</w:t>
      </w:r>
      <w:r>
        <w:rPr>
          <w:bCs/>
        </w:rPr>
        <w:t>a</w:t>
      </w:r>
      <w:r w:rsidRPr="00F80009">
        <w:rPr>
          <w:bCs/>
        </w:rPr>
        <w:t xml:space="preserve"> CPDE – CSO Partnership for Effective Development Cooperation, a rovněž aktivní zapojení členů FoRS do mezinárodních struktur CONCORD a CPDE; dalším pozitivním příkladem je pilotovaná Rámcová smlouva s FoRS (spolufinancování FoRS by nemělo být založené na projektech</w:t>
      </w:r>
      <w:r>
        <w:rPr>
          <w:bCs/>
        </w:rPr>
        <w:t>,</w:t>
      </w:r>
      <w:r w:rsidRPr="00F80009">
        <w:rPr>
          <w:bCs/>
        </w:rPr>
        <w:t xml:space="preserve"> ale na dlouhodobé podpoře běžné činnosti, která má propojovat </w:t>
      </w:r>
      <w:r>
        <w:rPr>
          <w:bCs/>
        </w:rPr>
        <w:t xml:space="preserve">a podporovat </w:t>
      </w:r>
      <w:r w:rsidRPr="00F80009">
        <w:rPr>
          <w:bCs/>
        </w:rPr>
        <w:t>členské organizace a nabízet společná stanoviska a postupy pro jednání a spolupráci s institucionálními a dalšími partnery).</w:t>
      </w:r>
    </w:p>
    <w:p w:rsidR="000B4BE5" w:rsidRPr="00F80009" w:rsidRDefault="000B4BE5" w:rsidP="006062A1">
      <w:pPr>
        <w:widowControl w:val="0"/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568" w:hanging="284"/>
        <w:jc w:val="both"/>
        <w:rPr>
          <w:bCs/>
        </w:rPr>
      </w:pPr>
      <w:r w:rsidRPr="00F80009">
        <w:rPr>
          <w:bCs/>
        </w:rPr>
        <w:t xml:space="preserve">Závazky zajistit </w:t>
      </w:r>
      <w:r w:rsidRPr="00F80009">
        <w:rPr>
          <w:b/>
          <w:bCs/>
        </w:rPr>
        <w:t>příznivé prostředí</w:t>
      </w:r>
      <w:r w:rsidRPr="00F80009">
        <w:rPr>
          <w:bCs/>
        </w:rPr>
        <w:t xml:space="preserve"> </w:t>
      </w:r>
      <w:r w:rsidRPr="00F80009">
        <w:rPr>
          <w:b/>
          <w:bCs/>
        </w:rPr>
        <w:t>(</w:t>
      </w:r>
      <w:r w:rsidRPr="00347526">
        <w:rPr>
          <w:b/>
          <w:bCs/>
        </w:rPr>
        <w:t>enabling environment</w:t>
      </w:r>
      <w:r w:rsidRPr="00F80009">
        <w:rPr>
          <w:b/>
          <w:bCs/>
        </w:rPr>
        <w:t>)</w:t>
      </w:r>
      <w:r w:rsidRPr="00F80009">
        <w:rPr>
          <w:bCs/>
        </w:rPr>
        <w:t xml:space="preserve"> pro organizace občanské společnosti, aby mohly plně uplatňovat své rozvojové role v souladu s mezinárodně uznávanými právy:</w:t>
      </w:r>
    </w:p>
    <w:p w:rsidR="000B4BE5" w:rsidRPr="00F80009" w:rsidRDefault="000B4BE5" w:rsidP="00F80009">
      <w:pPr>
        <w:widowControl w:val="0"/>
        <w:numPr>
          <w:ilvl w:val="1"/>
          <w:numId w:val="4"/>
        </w:numPr>
        <w:tabs>
          <w:tab w:val="clear" w:pos="1440"/>
        </w:tabs>
        <w:spacing w:before="40" w:after="0" w:line="240" w:lineRule="auto"/>
        <w:ind w:left="851" w:hanging="284"/>
        <w:jc w:val="both"/>
        <w:rPr>
          <w:bCs/>
        </w:rPr>
      </w:pPr>
      <w:r>
        <w:rPr>
          <w:bCs/>
        </w:rPr>
        <w:tab/>
      </w:r>
      <w:r w:rsidRPr="00F80009">
        <w:rPr>
          <w:bCs/>
        </w:rPr>
        <w:t>Legislativa ČR i strategické dokumenty plně podporují lidská práva</w:t>
      </w:r>
      <w:r>
        <w:rPr>
          <w:bCs/>
        </w:rPr>
        <w:t xml:space="preserve"> a občanské svobody;</w:t>
      </w:r>
      <w:r w:rsidRPr="00F80009">
        <w:rPr>
          <w:bCs/>
        </w:rPr>
        <w:t xml:space="preserve"> na druhou stranu někteří politici role </w:t>
      </w:r>
      <w:r>
        <w:rPr>
          <w:bCs/>
        </w:rPr>
        <w:t>nevládních organizací</w:t>
      </w:r>
      <w:r w:rsidRPr="00F80009">
        <w:rPr>
          <w:bCs/>
        </w:rPr>
        <w:t xml:space="preserve"> stále zpochybňují</w:t>
      </w:r>
      <w:r>
        <w:rPr>
          <w:bCs/>
        </w:rPr>
        <w:t>;</w:t>
      </w:r>
      <w:r w:rsidRPr="00F80009">
        <w:rPr>
          <w:bCs/>
        </w:rPr>
        <w:t xml:space="preserve"> </w:t>
      </w:r>
      <w:bookmarkStart w:id="0" w:name="_GoBack"/>
      <w:bookmarkEnd w:id="0"/>
      <w:r w:rsidRPr="00F80009">
        <w:rPr>
          <w:bCs/>
        </w:rPr>
        <w:t xml:space="preserve">FoRS dlouhodobě podporuje snahy MZV o zvyšování rozpočtu a </w:t>
      </w:r>
      <w:r>
        <w:rPr>
          <w:bCs/>
        </w:rPr>
        <w:t>k</w:t>
      </w:r>
      <w:r w:rsidRPr="00F80009">
        <w:rPr>
          <w:bCs/>
        </w:rPr>
        <w:t>valit</w:t>
      </w:r>
      <w:r>
        <w:rPr>
          <w:bCs/>
        </w:rPr>
        <w:t>y</w:t>
      </w:r>
      <w:r w:rsidRPr="00F80009">
        <w:rPr>
          <w:bCs/>
        </w:rPr>
        <w:t xml:space="preserve"> </w:t>
      </w:r>
      <w:r>
        <w:rPr>
          <w:bCs/>
        </w:rPr>
        <w:t>zahraniční rozvojové spolupráce</w:t>
      </w:r>
      <w:r w:rsidRPr="00F80009">
        <w:rPr>
          <w:bCs/>
        </w:rPr>
        <w:t xml:space="preserve"> a nabíz</w:t>
      </w:r>
      <w:r>
        <w:rPr>
          <w:bCs/>
        </w:rPr>
        <w:t>í</w:t>
      </w:r>
      <w:r w:rsidRPr="00F80009">
        <w:rPr>
          <w:bCs/>
        </w:rPr>
        <w:t xml:space="preserve"> konstruktivní řešení;</w:t>
      </w:r>
    </w:p>
    <w:p w:rsidR="000B4BE5" w:rsidRPr="00F80009" w:rsidRDefault="000B4BE5" w:rsidP="00F80009">
      <w:pPr>
        <w:widowControl w:val="0"/>
        <w:numPr>
          <w:ilvl w:val="1"/>
          <w:numId w:val="4"/>
        </w:numPr>
        <w:tabs>
          <w:tab w:val="clear" w:pos="1440"/>
        </w:tabs>
        <w:spacing w:before="40" w:after="0" w:line="240" w:lineRule="auto"/>
        <w:ind w:left="851" w:hanging="284"/>
        <w:jc w:val="both"/>
        <w:rPr>
          <w:bCs/>
        </w:rPr>
      </w:pPr>
      <w:r>
        <w:rPr>
          <w:bCs/>
        </w:rPr>
        <w:tab/>
      </w:r>
      <w:r w:rsidRPr="00F80009">
        <w:rPr>
          <w:bCs/>
        </w:rPr>
        <w:t>Pozitivním příkladem jsou dlouhodobě existující dotační programy a vzájemný dialog.</w:t>
      </w:r>
    </w:p>
    <w:p w:rsidR="000B4BE5" w:rsidRPr="00F80009" w:rsidRDefault="000B4BE5" w:rsidP="006062A1">
      <w:pPr>
        <w:widowControl w:val="0"/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568" w:hanging="284"/>
        <w:jc w:val="both"/>
      </w:pPr>
      <w:r w:rsidRPr="00F80009">
        <w:rPr>
          <w:b/>
          <w:bCs/>
        </w:rPr>
        <w:t>Transparentní kritéria a dlouhodobá předvídatelnost</w:t>
      </w:r>
      <w:r w:rsidRPr="00F80009">
        <w:rPr>
          <w:bCs/>
        </w:rPr>
        <w:t xml:space="preserve"> rozvojové spolupráce a </w:t>
      </w:r>
      <w:r w:rsidRPr="00F80009">
        <w:rPr>
          <w:b/>
          <w:bCs/>
        </w:rPr>
        <w:t>lepší přístup k rozvojovému financování</w:t>
      </w:r>
      <w:r w:rsidRPr="00F80009">
        <w:rPr>
          <w:bCs/>
        </w:rPr>
        <w:t>, včetně zjednodušeného a na výsledky orientovaného managementu a reportování:</w:t>
      </w:r>
    </w:p>
    <w:p w:rsidR="000B4BE5" w:rsidRPr="00F80009" w:rsidRDefault="000B4BE5" w:rsidP="00F80009">
      <w:pPr>
        <w:widowControl w:val="0"/>
        <w:numPr>
          <w:ilvl w:val="1"/>
          <w:numId w:val="4"/>
        </w:numPr>
        <w:tabs>
          <w:tab w:val="clear" w:pos="1440"/>
        </w:tabs>
        <w:spacing w:before="40" w:after="0" w:line="240" w:lineRule="auto"/>
        <w:ind w:left="851" w:hanging="284"/>
        <w:jc w:val="both"/>
        <w:rPr>
          <w:bCs/>
        </w:rPr>
      </w:pPr>
      <w:r>
        <w:rPr>
          <w:bCs/>
        </w:rPr>
        <w:tab/>
      </w:r>
      <w:r w:rsidRPr="00F80009">
        <w:rPr>
          <w:bCs/>
        </w:rPr>
        <w:t>V této oblasti přetrvávají problémy – nezávaznost střednědobého výhledu, jednoleté financování (problém</w:t>
      </w:r>
      <w:r>
        <w:rPr>
          <w:bCs/>
        </w:rPr>
        <w:t>y</w:t>
      </w:r>
      <w:r w:rsidRPr="00F80009">
        <w:rPr>
          <w:bCs/>
        </w:rPr>
        <w:t xml:space="preserve"> s financováním pokračujících víceletých projektů), </w:t>
      </w:r>
      <w:r>
        <w:rPr>
          <w:bCs/>
        </w:rPr>
        <w:t xml:space="preserve">dosud </w:t>
      </w:r>
      <w:r w:rsidRPr="00F80009">
        <w:rPr>
          <w:bCs/>
        </w:rPr>
        <w:t>chybějící nová metodika řízení projektového cyklu, ne</w:t>
      </w:r>
      <w:r>
        <w:rPr>
          <w:bCs/>
        </w:rPr>
        <w:t>jasná</w:t>
      </w:r>
      <w:r w:rsidRPr="00F80009">
        <w:rPr>
          <w:bCs/>
        </w:rPr>
        <w:t xml:space="preserve"> kritéria rozhodování, </w:t>
      </w:r>
      <w:r>
        <w:rPr>
          <w:bCs/>
        </w:rPr>
        <w:t>či monitoring</w:t>
      </w:r>
      <w:r w:rsidRPr="00F80009">
        <w:rPr>
          <w:bCs/>
        </w:rPr>
        <w:t xml:space="preserve"> zaměřený na aktivity – FoRS navrhl v červnu a září 2016 nové formáty projektů a zpráv a </w:t>
      </w:r>
      <w:r>
        <w:rPr>
          <w:bCs/>
        </w:rPr>
        <w:t xml:space="preserve">úpravu </w:t>
      </w:r>
      <w:r w:rsidRPr="00F80009">
        <w:rPr>
          <w:bCs/>
        </w:rPr>
        <w:t>hodnotící</w:t>
      </w:r>
      <w:r>
        <w:rPr>
          <w:bCs/>
        </w:rPr>
        <w:t>ch</w:t>
      </w:r>
      <w:r w:rsidRPr="00F80009">
        <w:rPr>
          <w:bCs/>
        </w:rPr>
        <w:t xml:space="preserve"> kritéri</w:t>
      </w:r>
      <w:r>
        <w:rPr>
          <w:bCs/>
        </w:rPr>
        <w:t>í</w:t>
      </w:r>
      <w:r w:rsidRPr="00F80009">
        <w:rPr>
          <w:bCs/>
        </w:rPr>
        <w:t xml:space="preserve"> a </w:t>
      </w:r>
      <w:r>
        <w:rPr>
          <w:bCs/>
        </w:rPr>
        <w:t xml:space="preserve">zatím </w:t>
      </w:r>
      <w:r w:rsidRPr="00F80009">
        <w:rPr>
          <w:bCs/>
        </w:rPr>
        <w:t>čeká na reakci Č</w:t>
      </w:r>
      <w:r>
        <w:rPr>
          <w:bCs/>
        </w:rPr>
        <w:t>eské rozvojové agentury</w:t>
      </w:r>
      <w:r w:rsidRPr="00F80009">
        <w:rPr>
          <w:bCs/>
        </w:rPr>
        <w:t>;</w:t>
      </w:r>
    </w:p>
    <w:p w:rsidR="000B4BE5" w:rsidRDefault="000B4BE5" w:rsidP="006062A1">
      <w:pPr>
        <w:widowControl w:val="0"/>
        <w:numPr>
          <w:ilvl w:val="1"/>
          <w:numId w:val="4"/>
        </w:numPr>
        <w:tabs>
          <w:tab w:val="clear" w:pos="1440"/>
        </w:tabs>
        <w:spacing w:before="40" w:after="0" w:line="240" w:lineRule="auto"/>
        <w:ind w:left="851" w:hanging="284"/>
        <w:jc w:val="both"/>
        <w:rPr>
          <w:bCs/>
        </w:rPr>
      </w:pPr>
      <w:r>
        <w:rPr>
          <w:bCs/>
        </w:rPr>
        <w:tab/>
        <w:t>Uvítali</w:t>
      </w:r>
      <w:r w:rsidRPr="00F80009">
        <w:rPr>
          <w:bCs/>
        </w:rPr>
        <w:t xml:space="preserve"> by</w:t>
      </w:r>
      <w:r>
        <w:rPr>
          <w:bCs/>
        </w:rPr>
        <w:t>chom</w:t>
      </w:r>
      <w:r w:rsidRPr="00F80009">
        <w:rPr>
          <w:bCs/>
        </w:rPr>
        <w:t xml:space="preserve"> také plánované přistoupení k</w:t>
      </w:r>
      <w:r>
        <w:rPr>
          <w:bCs/>
        </w:rPr>
        <w:t> </w:t>
      </w:r>
      <w:r w:rsidRPr="00F80009">
        <w:rPr>
          <w:bCs/>
        </w:rPr>
        <w:t>I</w:t>
      </w:r>
      <w:r>
        <w:rPr>
          <w:bCs/>
        </w:rPr>
        <w:t xml:space="preserve">nternational </w:t>
      </w:r>
      <w:r w:rsidRPr="00F80009">
        <w:rPr>
          <w:bCs/>
        </w:rPr>
        <w:t>A</w:t>
      </w:r>
      <w:r>
        <w:rPr>
          <w:bCs/>
        </w:rPr>
        <w:t xml:space="preserve">id </w:t>
      </w:r>
      <w:r w:rsidRPr="00F80009">
        <w:rPr>
          <w:bCs/>
        </w:rPr>
        <w:t>T</w:t>
      </w:r>
      <w:r>
        <w:rPr>
          <w:bCs/>
        </w:rPr>
        <w:t xml:space="preserve">ransparency </w:t>
      </w:r>
      <w:r w:rsidRPr="00F80009">
        <w:rPr>
          <w:bCs/>
        </w:rPr>
        <w:t>I</w:t>
      </w:r>
      <w:r>
        <w:rPr>
          <w:bCs/>
        </w:rPr>
        <w:t>nitiative (IATI);</w:t>
      </w:r>
    </w:p>
    <w:p w:rsidR="000B4BE5" w:rsidRPr="00F80009" w:rsidRDefault="000B4BE5" w:rsidP="00F80009">
      <w:pPr>
        <w:widowControl w:val="0"/>
        <w:numPr>
          <w:ilvl w:val="1"/>
          <w:numId w:val="4"/>
        </w:numPr>
        <w:tabs>
          <w:tab w:val="clear" w:pos="1440"/>
        </w:tabs>
        <w:spacing w:before="40" w:after="0" w:line="240" w:lineRule="auto"/>
        <w:ind w:left="851" w:hanging="284"/>
        <w:jc w:val="both"/>
        <w:rPr>
          <w:bCs/>
        </w:rPr>
      </w:pPr>
      <w:r>
        <w:rPr>
          <w:bCs/>
        </w:rPr>
        <w:tab/>
      </w:r>
      <w:r w:rsidRPr="00F80009">
        <w:rPr>
          <w:bCs/>
        </w:rPr>
        <w:t xml:space="preserve">Pozitivem je </w:t>
      </w:r>
      <w:r>
        <w:rPr>
          <w:bCs/>
        </w:rPr>
        <w:t xml:space="preserve">mimo jiné </w:t>
      </w:r>
      <w:r w:rsidRPr="00F80009">
        <w:rPr>
          <w:bCs/>
        </w:rPr>
        <w:t>možnost spolufinancování projektů s dalšími donory (dosud</w:t>
      </w:r>
      <w:r>
        <w:rPr>
          <w:bCs/>
        </w:rPr>
        <w:t xml:space="preserve"> výjimečné v zemích EU13);</w:t>
      </w:r>
      <w:r w:rsidRPr="00F80009">
        <w:rPr>
          <w:bCs/>
        </w:rPr>
        <w:t xml:space="preserve"> je však komplikována rozdíln</w:t>
      </w:r>
      <w:r>
        <w:rPr>
          <w:bCs/>
        </w:rPr>
        <w:t>ými administrativními požadavky.</w:t>
      </w:r>
    </w:p>
    <w:sectPr w:rsidR="000B4BE5" w:rsidRPr="00F80009" w:rsidSect="00A85A87">
      <w:headerReference w:type="default" r:id="rId7"/>
      <w:pgSz w:w="11906" w:h="16838"/>
      <w:pgMar w:top="1418" w:right="107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E5" w:rsidRDefault="000B4BE5" w:rsidP="00E03FF5">
      <w:pPr>
        <w:spacing w:after="0" w:line="240" w:lineRule="auto"/>
      </w:pPr>
      <w:r>
        <w:separator/>
      </w:r>
    </w:p>
  </w:endnote>
  <w:endnote w:type="continuationSeparator" w:id="0">
    <w:p w:rsidR="000B4BE5" w:rsidRDefault="000B4BE5" w:rsidP="00E0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E5" w:rsidRDefault="000B4BE5" w:rsidP="00E03FF5">
      <w:pPr>
        <w:spacing w:after="0" w:line="240" w:lineRule="auto"/>
      </w:pPr>
      <w:r>
        <w:separator/>
      </w:r>
    </w:p>
  </w:footnote>
  <w:footnote w:type="continuationSeparator" w:id="0">
    <w:p w:rsidR="000B4BE5" w:rsidRDefault="000B4BE5" w:rsidP="00E0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E5" w:rsidRPr="00A85A87" w:rsidRDefault="000B4BE5" w:rsidP="00A85A87">
    <w:pPr>
      <w:pStyle w:val="Header"/>
      <w:spacing w:after="80" w:line="240" w:lineRule="auto"/>
      <w:rPr>
        <w:rFonts w:ascii="Comic Sans MS" w:hAnsi="Comic Sans MS"/>
        <w:b/>
        <w:color w:val="FF0000"/>
        <w:sz w:val="24"/>
        <w:szCs w:val="24"/>
        <w:lang w:val="en-US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387pt;margin-top:-4.15pt;width:85.6pt;height:30.6pt;z-index:251660288;visibility:visible">
          <v:imagedata r:id="rId1" o:title=""/>
        </v:shape>
      </w:pict>
    </w:r>
    <w:r>
      <w:rPr>
        <w:rFonts w:ascii="Comic Sans MS" w:hAnsi="Comic Sans MS"/>
        <w:b/>
        <w:color w:val="FF0000"/>
        <w:sz w:val="24"/>
        <w:szCs w:val="24"/>
        <w:lang w:val="en-US"/>
      </w:rPr>
      <w:t>Keep it simple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051B"/>
    <w:multiLevelType w:val="hybridMultilevel"/>
    <w:tmpl w:val="139CBBEC"/>
    <w:lvl w:ilvl="0" w:tplc="801E7FB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83A59"/>
    <w:multiLevelType w:val="hybridMultilevel"/>
    <w:tmpl w:val="3D6CC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D1A42"/>
    <w:multiLevelType w:val="hybridMultilevel"/>
    <w:tmpl w:val="5B543640"/>
    <w:lvl w:ilvl="0" w:tplc="902A20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486C04"/>
    <w:multiLevelType w:val="hybridMultilevel"/>
    <w:tmpl w:val="66C6573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D2A"/>
    <w:rsid w:val="00000E24"/>
    <w:rsid w:val="00062838"/>
    <w:rsid w:val="00082EF6"/>
    <w:rsid w:val="000A7BCA"/>
    <w:rsid w:val="000B4BE5"/>
    <w:rsid w:val="000C3A84"/>
    <w:rsid w:val="00113BBF"/>
    <w:rsid w:val="00114596"/>
    <w:rsid w:val="00136D18"/>
    <w:rsid w:val="001847ED"/>
    <w:rsid w:val="001A0586"/>
    <w:rsid w:val="001A1376"/>
    <w:rsid w:val="001B374A"/>
    <w:rsid w:val="001C093B"/>
    <w:rsid w:val="001F5D8A"/>
    <w:rsid w:val="002347EB"/>
    <w:rsid w:val="00237FE5"/>
    <w:rsid w:val="002A38DE"/>
    <w:rsid w:val="002A6750"/>
    <w:rsid w:val="002B0C54"/>
    <w:rsid w:val="002E533E"/>
    <w:rsid w:val="00347526"/>
    <w:rsid w:val="003927AE"/>
    <w:rsid w:val="003C2F9D"/>
    <w:rsid w:val="003E6A90"/>
    <w:rsid w:val="00400148"/>
    <w:rsid w:val="00404ACE"/>
    <w:rsid w:val="0042335D"/>
    <w:rsid w:val="0042799C"/>
    <w:rsid w:val="00431FAA"/>
    <w:rsid w:val="00435593"/>
    <w:rsid w:val="00482F28"/>
    <w:rsid w:val="004F4479"/>
    <w:rsid w:val="00530390"/>
    <w:rsid w:val="0053392A"/>
    <w:rsid w:val="00543C3A"/>
    <w:rsid w:val="00577416"/>
    <w:rsid w:val="005C5D2A"/>
    <w:rsid w:val="005F0DF1"/>
    <w:rsid w:val="006062A1"/>
    <w:rsid w:val="0061090E"/>
    <w:rsid w:val="0062462A"/>
    <w:rsid w:val="00625767"/>
    <w:rsid w:val="006A34C2"/>
    <w:rsid w:val="006C2EA0"/>
    <w:rsid w:val="006D582E"/>
    <w:rsid w:val="0070723A"/>
    <w:rsid w:val="00783745"/>
    <w:rsid w:val="00792817"/>
    <w:rsid w:val="00797C11"/>
    <w:rsid w:val="007A3148"/>
    <w:rsid w:val="007B6B84"/>
    <w:rsid w:val="007F5527"/>
    <w:rsid w:val="00804EF7"/>
    <w:rsid w:val="00834156"/>
    <w:rsid w:val="00874771"/>
    <w:rsid w:val="008B0CB8"/>
    <w:rsid w:val="00907AB4"/>
    <w:rsid w:val="00932A9F"/>
    <w:rsid w:val="0095198B"/>
    <w:rsid w:val="00970574"/>
    <w:rsid w:val="00973B49"/>
    <w:rsid w:val="00990CF7"/>
    <w:rsid w:val="009F0A0C"/>
    <w:rsid w:val="00A36648"/>
    <w:rsid w:val="00A67421"/>
    <w:rsid w:val="00A74DEC"/>
    <w:rsid w:val="00A85A87"/>
    <w:rsid w:val="00A86BBF"/>
    <w:rsid w:val="00A91E99"/>
    <w:rsid w:val="00AE1D39"/>
    <w:rsid w:val="00BE51A8"/>
    <w:rsid w:val="00BF1436"/>
    <w:rsid w:val="00C46971"/>
    <w:rsid w:val="00CC22F1"/>
    <w:rsid w:val="00CF0715"/>
    <w:rsid w:val="00CF4E0F"/>
    <w:rsid w:val="00D14C98"/>
    <w:rsid w:val="00D22F21"/>
    <w:rsid w:val="00D45FD1"/>
    <w:rsid w:val="00D46546"/>
    <w:rsid w:val="00D52D1A"/>
    <w:rsid w:val="00D87DE4"/>
    <w:rsid w:val="00D962EF"/>
    <w:rsid w:val="00DF62AC"/>
    <w:rsid w:val="00E03FF5"/>
    <w:rsid w:val="00E058CF"/>
    <w:rsid w:val="00E33A3D"/>
    <w:rsid w:val="00E44E4A"/>
    <w:rsid w:val="00E64247"/>
    <w:rsid w:val="00E829D8"/>
    <w:rsid w:val="00E8704D"/>
    <w:rsid w:val="00E9524E"/>
    <w:rsid w:val="00ED0D03"/>
    <w:rsid w:val="00F27695"/>
    <w:rsid w:val="00F37140"/>
    <w:rsid w:val="00F77D20"/>
    <w:rsid w:val="00F80009"/>
    <w:rsid w:val="00F85C43"/>
    <w:rsid w:val="00F869ED"/>
    <w:rsid w:val="00FD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69ED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03FF5"/>
    <w:pPr>
      <w:spacing w:after="0" w:line="240" w:lineRule="auto"/>
    </w:pPr>
    <w:rPr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3FF5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E03FF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C2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5A8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58CF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85A8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58CF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32A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2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2A9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2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2A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3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A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587</Words>
  <Characters>3469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Globální partnerství pro efektivní rozvojovou spolupráci</dc:title>
  <dc:subject/>
  <dc:creator>Daniel Svoboda</dc:creator>
  <cp:keywords/>
  <dc:description/>
  <cp:lastModifiedBy>Mgr. Daniel Svoboda</cp:lastModifiedBy>
  <cp:revision>2</cp:revision>
  <cp:lastPrinted>2016-10-13T06:12:00Z</cp:lastPrinted>
  <dcterms:created xsi:type="dcterms:W3CDTF">2016-10-27T11:28:00Z</dcterms:created>
  <dcterms:modified xsi:type="dcterms:W3CDTF">2016-10-27T11:28:00Z</dcterms:modified>
</cp:coreProperties>
</file>